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BUSINESS MODEL CANVAS (BMC)</w:t>
        <w:br/>
        <w:t>ESMAEL THERAPY SPA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Komponen</w:t>
            </w:r>
          </w:p>
        </w:tc>
        <w:tc>
          <w:tcPr>
            <w:tcW w:type="dxa" w:w="4320"/>
          </w:tcPr>
          <w:p>
            <w:r>
              <w:t>Perincian</w:t>
            </w:r>
          </w:p>
        </w:tc>
      </w:tr>
      <w:tr>
        <w:tc>
          <w:tcPr>
            <w:tcW w:type="dxa" w:w="4320"/>
          </w:tcPr>
          <w:p>
            <w:r>
              <w:t>Customer Segments</w:t>
            </w:r>
          </w:p>
        </w:tc>
        <w:tc>
          <w:tcPr>
            <w:tcW w:type="dxa" w:w="4320"/>
          </w:tcPr>
          <w:p>
            <w:r>
              <w:t>Penduduk sekitar Arau &amp; Perlis</w:t>
              <w:br/>
              <w:t>Lelaki &amp; wanita dewasa</w:t>
              <w:br/>
              <w:t>Warga emas</w:t>
              <w:br/>
              <w:t>OKU &amp; penjaga OKU</w:t>
              <w:br/>
              <w:t>Pelanggan Muslim</w:t>
            </w:r>
          </w:p>
        </w:tc>
      </w:tr>
      <w:tr>
        <w:tc>
          <w:tcPr>
            <w:tcW w:type="dxa" w:w="4320"/>
          </w:tcPr>
          <w:p>
            <w:r>
              <w:t>Value Propositions</w:t>
            </w:r>
          </w:p>
        </w:tc>
        <w:tc>
          <w:tcPr>
            <w:tcW w:type="dxa" w:w="4320"/>
          </w:tcPr>
          <w:p>
            <w:r>
              <w:t>Home spa</w:t>
              <w:br/>
              <w:t>Harga berpatutan</w:t>
              <w:br/>
              <w:t>Patuh syariah</w:t>
              <w:br/>
              <w:t>Mesra OKU</w:t>
            </w:r>
          </w:p>
        </w:tc>
      </w:tr>
      <w:tr>
        <w:tc>
          <w:tcPr>
            <w:tcW w:type="dxa" w:w="4320"/>
          </w:tcPr>
          <w:p>
            <w:r>
              <w:t>Channels</w:t>
            </w:r>
          </w:p>
        </w:tc>
        <w:tc>
          <w:tcPr>
            <w:tcW w:type="dxa" w:w="4320"/>
          </w:tcPr>
          <w:p>
            <w:r>
              <w:t>WhatsApp</w:t>
              <w:br/>
              <w:t>Facebook</w:t>
              <w:br/>
              <w:t>Instagram</w:t>
              <w:br/>
              <w:t>Promosi mulut ke mulut</w:t>
            </w:r>
          </w:p>
        </w:tc>
      </w:tr>
      <w:tr>
        <w:tc>
          <w:tcPr>
            <w:tcW w:type="dxa" w:w="4320"/>
          </w:tcPr>
          <w:p>
            <w:r>
              <w:t>Customer Relationships</w:t>
            </w:r>
          </w:p>
        </w:tc>
        <w:tc>
          <w:tcPr>
            <w:tcW w:type="dxa" w:w="4320"/>
          </w:tcPr>
          <w:p>
            <w:r>
              <w:t>Janji temu</w:t>
              <w:br/>
              <w:t>Pelanggan setia</w:t>
              <w:br/>
              <w:t>Follow-up</w:t>
            </w:r>
          </w:p>
        </w:tc>
      </w:tr>
      <w:tr>
        <w:tc>
          <w:tcPr>
            <w:tcW w:type="dxa" w:w="4320"/>
          </w:tcPr>
          <w:p>
            <w:r>
              <w:t>Revenue Streams</w:t>
            </w:r>
          </w:p>
        </w:tc>
        <w:tc>
          <w:tcPr>
            <w:tcW w:type="dxa" w:w="4320"/>
          </w:tcPr>
          <w:p>
            <w:r>
              <w:t>Bayaran rawatan</w:t>
              <w:br/>
              <w:t>Pakej rawatan</w:t>
              <w:br/>
              <w:t>Jualan produk</w:t>
            </w:r>
          </w:p>
        </w:tc>
      </w:tr>
      <w:tr>
        <w:tc>
          <w:tcPr>
            <w:tcW w:type="dxa" w:w="4320"/>
          </w:tcPr>
          <w:p>
            <w:r>
              <w:t>Key Resources</w:t>
            </w:r>
          </w:p>
        </w:tc>
        <w:tc>
          <w:tcPr>
            <w:tcW w:type="dxa" w:w="4320"/>
          </w:tcPr>
          <w:p>
            <w:r>
              <w:t>Kepakaran terapi</w:t>
              <w:br/>
              <w:t>Peralatan spa</w:t>
              <w:br/>
              <w:t>Ruang rumah</w:t>
            </w:r>
          </w:p>
        </w:tc>
      </w:tr>
      <w:tr>
        <w:tc>
          <w:tcPr>
            <w:tcW w:type="dxa" w:w="4320"/>
          </w:tcPr>
          <w:p>
            <w:r>
              <w:t>Key Activities</w:t>
            </w:r>
          </w:p>
        </w:tc>
        <w:tc>
          <w:tcPr>
            <w:tcW w:type="dxa" w:w="4320"/>
          </w:tcPr>
          <w:p>
            <w:r>
              <w:t>Rawatan spa</w:t>
              <w:br/>
              <w:t>Promosi</w:t>
              <w:br/>
              <w:t>Pengurusan pelanggan</w:t>
            </w:r>
          </w:p>
        </w:tc>
      </w:tr>
      <w:tr>
        <w:tc>
          <w:tcPr>
            <w:tcW w:type="dxa" w:w="4320"/>
          </w:tcPr>
          <w:p>
            <w:r>
              <w:t>Key Partnerships</w:t>
            </w:r>
          </w:p>
        </w:tc>
        <w:tc>
          <w:tcPr>
            <w:tcW w:type="dxa" w:w="4320"/>
          </w:tcPr>
          <w:p>
            <w:r>
              <w:t>Pembekal</w:t>
              <w:br/>
              <w:t>KRT</w:t>
              <w:br/>
              <w:t>Agensi OKU</w:t>
            </w:r>
          </w:p>
        </w:tc>
      </w:tr>
      <w:tr>
        <w:tc>
          <w:tcPr>
            <w:tcW w:type="dxa" w:w="4320"/>
          </w:tcPr>
          <w:p>
            <w:r>
              <w:t>Cost Structure</w:t>
            </w:r>
          </w:p>
        </w:tc>
        <w:tc>
          <w:tcPr>
            <w:tcW w:type="dxa" w:w="4320"/>
          </w:tcPr>
          <w:p>
            <w:r>
              <w:t>Minyak urut</w:t>
              <w:br/>
              <w:t>Utiliti</w:t>
              <w:br/>
              <w:t>Pemasaran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